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仿宋_GB2312" w:eastAsia="仿宋_GB2312"/>
          <w:b/>
          <w:bCs/>
          <w:sz w:val="32"/>
          <w:szCs w:val="32"/>
          <w:lang w:val="en-US" w:eastAsia="zh-CN"/>
        </w:rPr>
      </w:pPr>
      <w:bookmarkStart w:id="0" w:name="_GoBack"/>
      <w:r>
        <w:rPr>
          <w:rFonts w:hint="eastAsia" w:ascii="仿宋_GB2312" w:eastAsia="仿宋_GB2312"/>
          <w:b/>
          <w:bCs/>
          <w:sz w:val="32"/>
          <w:szCs w:val="32"/>
          <w:lang w:val="en-US" w:eastAsia="zh-CN"/>
        </w:rPr>
        <w:t>4.4.1近三年学院开展第二课堂建设情况总结</w:t>
      </w:r>
    </w:p>
    <w:bookmarkEnd w:id="0"/>
    <w:p>
      <w:pPr>
        <w:rPr>
          <w:rFonts w:hint="eastAsia" w:ascii="仿宋_GB2312" w:eastAsia="仿宋_GB2312"/>
          <w:sz w:val="28"/>
          <w:szCs w:val="28"/>
          <w:lang w:val="en-US" w:eastAsia="zh-CN"/>
        </w:rPr>
      </w:pPr>
    </w:p>
    <w:p>
      <w:pPr>
        <w:rPr>
          <w:rFonts w:hint="eastAsia" w:ascii="仿宋_GB2312" w:eastAsia="仿宋_GB2312"/>
          <w:sz w:val="28"/>
          <w:szCs w:val="28"/>
          <w:lang w:val="en-US" w:eastAsia="zh-CN"/>
        </w:rPr>
      </w:pPr>
      <w:r>
        <w:rPr>
          <w:rFonts w:hint="eastAsia" w:ascii="仿宋_GB2312" w:eastAsia="仿宋_GB2312"/>
          <w:sz w:val="28"/>
          <w:szCs w:val="28"/>
          <w:lang w:val="en-US" w:eastAsia="zh-CN"/>
        </w:rPr>
        <w:t>总要求：篇幅要求1500字左右。</w:t>
      </w:r>
    </w:p>
    <w:p>
      <w:pPr>
        <w:rPr>
          <w:rFonts w:hint="eastAsia" w:ascii="仿宋_GB2312" w:eastAsia="仿宋_GB2312"/>
          <w:sz w:val="28"/>
          <w:szCs w:val="28"/>
          <w:lang w:val="en-US" w:eastAsia="zh-CN"/>
        </w:rPr>
      </w:pPr>
      <w:r>
        <w:rPr>
          <w:rFonts w:hint="eastAsia" w:ascii="仿宋_GB2312" w:eastAsia="仿宋_GB2312"/>
          <w:sz w:val="28"/>
          <w:szCs w:val="28"/>
          <w:lang w:val="en-US" w:eastAsia="zh-CN"/>
        </w:rPr>
        <w:t>内容要求：</w:t>
      </w:r>
    </w:p>
    <w:p>
      <w:pPr>
        <w:numPr>
          <w:ilvl w:val="0"/>
          <w:numId w:val="1"/>
        </w:numPr>
        <w:rPr>
          <w:rFonts w:hint="eastAsia" w:ascii="仿宋_GB2312" w:eastAsia="仿宋_GB2312"/>
          <w:sz w:val="28"/>
          <w:szCs w:val="28"/>
          <w:lang w:val="en-US" w:eastAsia="zh-CN"/>
        </w:rPr>
      </w:pPr>
      <w:r>
        <w:rPr>
          <w:rFonts w:hint="eastAsia" w:ascii="仿宋_GB2312" w:eastAsia="仿宋_GB2312"/>
          <w:sz w:val="28"/>
          <w:szCs w:val="28"/>
          <w:lang w:val="en-US" w:eastAsia="zh-CN"/>
        </w:rPr>
        <w:t>第二课堂建设的整体思路及政策保障措施；</w:t>
      </w:r>
    </w:p>
    <w:p>
      <w:pPr>
        <w:numPr>
          <w:numId w:val="0"/>
        </w:numPr>
        <w:rPr>
          <w:rFonts w:hint="eastAsia" w:ascii="仿宋_GB2312" w:eastAsia="仿宋_GB2312"/>
          <w:sz w:val="28"/>
          <w:szCs w:val="28"/>
          <w:lang w:val="en-US" w:eastAsia="zh-CN"/>
        </w:rPr>
      </w:pPr>
    </w:p>
    <w:p>
      <w:pPr>
        <w:numPr>
          <w:numId w:val="0"/>
        </w:numPr>
        <w:rPr>
          <w:rFonts w:hint="eastAsia" w:ascii="仿宋_GB2312" w:eastAsia="仿宋_GB2312"/>
          <w:sz w:val="28"/>
          <w:szCs w:val="28"/>
          <w:lang w:val="en-US" w:eastAsia="zh-CN"/>
        </w:rPr>
      </w:pPr>
    </w:p>
    <w:p>
      <w:pPr>
        <w:numPr>
          <w:ilvl w:val="0"/>
          <w:numId w:val="1"/>
        </w:numPr>
        <w:tabs>
          <w:tab w:val="clear" w:pos="312"/>
        </w:tabs>
        <w:rPr>
          <w:rFonts w:hint="eastAsia" w:ascii="仿宋_GB2312" w:eastAsia="仿宋_GB2312"/>
          <w:sz w:val="28"/>
          <w:szCs w:val="28"/>
          <w:lang w:val="en-US" w:eastAsia="zh-CN"/>
        </w:rPr>
      </w:pPr>
      <w:r>
        <w:rPr>
          <w:rFonts w:hint="eastAsia" w:ascii="仿宋_GB2312" w:eastAsia="仿宋_GB2312"/>
          <w:sz w:val="28"/>
          <w:szCs w:val="28"/>
          <w:lang w:val="en-US" w:eastAsia="zh-CN"/>
        </w:rPr>
        <w:t>第二课堂的主要形式及教学成果（突出介绍创造性开展第二课堂教学的有效形式、突出第二课堂如何与第一课堂紧密结合，共同促进人才培养效果）；</w:t>
      </w:r>
    </w:p>
    <w:p>
      <w:pPr>
        <w:numPr>
          <w:numId w:val="0"/>
        </w:numPr>
        <w:rPr>
          <w:rFonts w:hint="eastAsia" w:ascii="仿宋_GB2312" w:eastAsia="仿宋_GB2312"/>
          <w:sz w:val="28"/>
          <w:szCs w:val="28"/>
          <w:lang w:val="en-US" w:eastAsia="zh-CN"/>
        </w:rPr>
      </w:pPr>
    </w:p>
    <w:p>
      <w:pPr>
        <w:numPr>
          <w:numId w:val="0"/>
        </w:numPr>
        <w:rPr>
          <w:rFonts w:hint="eastAsia" w:ascii="仿宋_GB2312" w:eastAsia="仿宋_GB2312"/>
          <w:sz w:val="28"/>
          <w:szCs w:val="28"/>
          <w:lang w:val="en-US" w:eastAsia="zh-CN"/>
        </w:rPr>
      </w:pPr>
    </w:p>
    <w:p>
      <w:pPr>
        <w:numPr>
          <w:numId w:val="0"/>
        </w:numPr>
      </w:pPr>
      <w:r>
        <w:rPr>
          <w:rFonts w:hint="eastAsia" w:ascii="仿宋_GB2312" w:eastAsia="仿宋_GB2312"/>
          <w:sz w:val="28"/>
          <w:szCs w:val="28"/>
          <w:lang w:val="en-US" w:eastAsia="zh-CN"/>
        </w:rPr>
        <w:t>3.存在问题及改进措施。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DC0D47"/>
    <w:multiLevelType w:val="singleLevel"/>
    <w:tmpl w:val="5ADC0D47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9A64CAA"/>
    <w:rsid w:val="59A64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2018-04-22T03:34:00Z</dcterms:created>
  <dc:creator>cosmos</dc:creator>
  <cp:lastModifiedBy>cosmos</cp:lastModifiedBy>
  <dcterms:modified xsi:type="dcterms:W3CDTF">2018-04-22T03:36:20Z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2052-10.1.0.6929</vt:lpwstr>
  </property>
</Properties>
</file>